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31" w:rsidRPr="00747131" w:rsidRDefault="00860608" w:rsidP="008D4036">
      <w:pPr>
        <w:spacing w:after="100" w:afterAutospacing="1" w:line="240" w:lineRule="auto"/>
        <w:rPr>
          <w:rFonts w:cstheme="minorHAnsi"/>
          <w:noProof/>
          <w:color w:val="000000" w:themeColor="text1"/>
          <w:sz w:val="26"/>
          <w:szCs w:val="26"/>
        </w:rPr>
      </w:pPr>
      <w:r w:rsidRPr="00747131">
        <w:rPr>
          <w:rFonts w:eastAsiaTheme="minorEastAsia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27DC3C6" wp14:editId="2DCC3030">
            <wp:simplePos x="0" y="0"/>
            <wp:positionH relativeFrom="column">
              <wp:posOffset>5426710</wp:posOffset>
            </wp:positionH>
            <wp:positionV relativeFrom="paragraph">
              <wp:posOffset>84455</wp:posOffset>
            </wp:positionV>
            <wp:extent cx="76581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131" w:rsidRPr="00747131">
        <w:rPr>
          <w:rFonts w:cstheme="minorHAnsi"/>
          <w:noProof/>
          <w:color w:val="000000" w:themeColor="text1"/>
          <w:sz w:val="26"/>
          <w:szCs w:val="26"/>
        </w:rPr>
        <w:t xml:space="preserve">Theoretische Grundlagen des Kommunikationsmodells von </w:t>
      </w:r>
      <w:r w:rsidR="008D4036">
        <w:rPr>
          <w:rFonts w:cstheme="minorHAnsi"/>
          <w:noProof/>
          <w:color w:val="000000" w:themeColor="text1"/>
          <w:sz w:val="26"/>
          <w:szCs w:val="26"/>
        </w:rPr>
        <w:t xml:space="preserve">Friedemann </w:t>
      </w:r>
      <w:r w:rsidR="00747131" w:rsidRPr="00747131">
        <w:rPr>
          <w:rFonts w:cstheme="minorHAnsi"/>
          <w:noProof/>
          <w:color w:val="000000" w:themeColor="text1"/>
          <w:sz w:val="26"/>
          <w:szCs w:val="26"/>
        </w:rPr>
        <w:t>Schulz von Thun</w:t>
      </w:r>
    </w:p>
    <w:p w:rsidR="00C7378C" w:rsidRDefault="00C7378C" w:rsidP="00C7378C">
      <w:pPr>
        <w:spacing w:after="0" w:line="240" w:lineRule="auto"/>
        <w:ind w:left="142"/>
        <w:jc w:val="both"/>
        <w:rPr>
          <w:rFonts w:eastAsiaTheme="minorEastAsia" w:cstheme="minorHAnsi"/>
          <w:sz w:val="24"/>
          <w:szCs w:val="24"/>
          <w:lang w:eastAsia="de-DE"/>
        </w:rPr>
      </w:pPr>
    </w:p>
    <w:p w:rsidR="00C7378C" w:rsidRDefault="00C7378C" w:rsidP="00C7378C">
      <w:pPr>
        <w:spacing w:after="0" w:line="240" w:lineRule="auto"/>
        <w:ind w:left="142"/>
        <w:jc w:val="both"/>
        <w:rPr>
          <w:rFonts w:eastAsiaTheme="minorEastAsia" w:cstheme="minorHAnsi"/>
          <w:sz w:val="24"/>
          <w:szCs w:val="24"/>
          <w:lang w:eastAsia="de-DE"/>
        </w:rPr>
      </w:pPr>
    </w:p>
    <w:p w:rsidR="00C7378C" w:rsidRDefault="00C7378C" w:rsidP="00C7378C">
      <w:pPr>
        <w:spacing w:after="0" w:line="240" w:lineRule="auto"/>
        <w:ind w:left="142"/>
        <w:jc w:val="both"/>
        <w:rPr>
          <w:rFonts w:eastAsiaTheme="minorEastAsia" w:cstheme="minorHAnsi"/>
          <w:sz w:val="24"/>
          <w:szCs w:val="24"/>
          <w:lang w:eastAsia="de-DE"/>
        </w:rPr>
      </w:pPr>
    </w:p>
    <w:p w:rsidR="00C7378C" w:rsidRDefault="00747131" w:rsidP="00C7378C">
      <w:pPr>
        <w:spacing w:after="0" w:line="240" w:lineRule="auto"/>
        <w:ind w:left="142"/>
        <w:jc w:val="both"/>
        <w:rPr>
          <w:rFonts w:eastAsiaTheme="minorEastAsia" w:cstheme="minorHAnsi"/>
          <w:b/>
          <w:sz w:val="24"/>
          <w:szCs w:val="24"/>
          <w:lang w:eastAsia="de-DE"/>
        </w:rPr>
      </w:pPr>
      <w:r w:rsidRPr="00747131">
        <w:rPr>
          <w:rFonts w:eastAsiaTheme="minorEastAsia" w:cstheme="minorHAnsi"/>
          <w:b/>
          <w:sz w:val="24"/>
          <w:szCs w:val="24"/>
          <w:lang w:eastAsia="de-DE"/>
        </w:rPr>
        <w:t xml:space="preserve">Aufgaben </w:t>
      </w:r>
    </w:p>
    <w:p w:rsidR="00C7378C" w:rsidRPr="00747131" w:rsidRDefault="00747131" w:rsidP="00C7378C">
      <w:pPr>
        <w:spacing w:after="0" w:line="240" w:lineRule="auto"/>
        <w:ind w:left="142"/>
        <w:jc w:val="both"/>
        <w:rPr>
          <w:rFonts w:eastAsiaTheme="minorEastAsia" w:cstheme="minorHAnsi"/>
          <w:sz w:val="24"/>
          <w:szCs w:val="24"/>
          <w:lang w:eastAsia="de-DE"/>
        </w:rPr>
      </w:pPr>
      <w:r w:rsidRPr="00747131">
        <w:rPr>
          <w:rFonts w:eastAsiaTheme="minorEastAsia" w:cstheme="minorHAnsi"/>
          <w:sz w:val="24"/>
          <w:szCs w:val="24"/>
          <w:lang w:eastAsia="de-DE"/>
        </w:rPr>
        <w:t>Schaue</w:t>
      </w:r>
      <w:r w:rsidR="00792E83">
        <w:rPr>
          <w:rFonts w:eastAsiaTheme="minorEastAsia" w:cstheme="minorHAnsi"/>
          <w:sz w:val="24"/>
          <w:szCs w:val="24"/>
          <w:lang w:eastAsia="de-DE"/>
        </w:rPr>
        <w:t>n Sie sich</w:t>
      </w:r>
      <w:r w:rsidRPr="00747131">
        <w:rPr>
          <w:rFonts w:eastAsiaTheme="minorEastAsia" w:cstheme="minorHAnsi"/>
          <w:sz w:val="24"/>
          <w:szCs w:val="24"/>
          <w:lang w:eastAsia="de-DE"/>
        </w:rPr>
        <w:t xml:space="preserve"> das Video „Kommunikation - Schulz von Thun: Die vier Seiten einer Nachricht“ (siehe QR Code) an und bearbeite</w:t>
      </w:r>
      <w:r w:rsidR="00792E83">
        <w:rPr>
          <w:rFonts w:eastAsiaTheme="minorEastAsia" w:cstheme="minorHAnsi"/>
          <w:sz w:val="24"/>
          <w:szCs w:val="24"/>
          <w:lang w:eastAsia="de-DE"/>
        </w:rPr>
        <w:t>n Sie</w:t>
      </w:r>
      <w:r w:rsidRPr="00747131">
        <w:rPr>
          <w:rFonts w:eastAsiaTheme="minorEastAsia" w:cstheme="minorHAnsi"/>
          <w:sz w:val="24"/>
          <w:szCs w:val="24"/>
          <w:lang w:eastAsia="de-DE"/>
        </w:rPr>
        <w:t xml:space="preserve"> die folgenden Aufgaben:</w:t>
      </w:r>
    </w:p>
    <w:p w:rsidR="00747131" w:rsidRDefault="00747131" w:rsidP="00747131">
      <w:pPr>
        <w:spacing w:after="0" w:line="240" w:lineRule="auto"/>
        <w:ind w:left="426" w:hanging="360"/>
        <w:jc w:val="both"/>
        <w:rPr>
          <w:rFonts w:eastAsiaTheme="minorEastAsia" w:cstheme="minorHAnsi"/>
          <w:sz w:val="24"/>
          <w:szCs w:val="24"/>
          <w:lang w:eastAsia="de-DE"/>
        </w:rPr>
      </w:pPr>
    </w:p>
    <w:p w:rsidR="00C7378C" w:rsidRDefault="00C7378C" w:rsidP="00747131">
      <w:pPr>
        <w:spacing w:after="0" w:line="240" w:lineRule="auto"/>
        <w:ind w:left="426" w:hanging="360"/>
        <w:jc w:val="both"/>
        <w:rPr>
          <w:rFonts w:eastAsiaTheme="minorEastAsia" w:cstheme="minorHAnsi"/>
          <w:sz w:val="24"/>
          <w:szCs w:val="24"/>
          <w:lang w:eastAsia="de-DE"/>
        </w:rPr>
      </w:pPr>
      <w:bookmarkStart w:id="0" w:name="_GoBack"/>
      <w:bookmarkEnd w:id="0"/>
    </w:p>
    <w:p w:rsidR="00C7378C" w:rsidRDefault="00C7378C" w:rsidP="00747131">
      <w:pPr>
        <w:spacing w:after="0" w:line="240" w:lineRule="auto"/>
        <w:ind w:left="426" w:hanging="360"/>
        <w:jc w:val="both"/>
        <w:rPr>
          <w:rFonts w:eastAsiaTheme="minorEastAsia" w:cstheme="minorHAnsi"/>
          <w:sz w:val="24"/>
          <w:szCs w:val="24"/>
          <w:lang w:eastAsia="de-DE"/>
        </w:rPr>
      </w:pPr>
    </w:p>
    <w:p w:rsidR="00C7378C" w:rsidRPr="00747131" w:rsidRDefault="00C7378C" w:rsidP="00747131">
      <w:pPr>
        <w:spacing w:after="0" w:line="240" w:lineRule="auto"/>
        <w:ind w:left="426" w:hanging="360"/>
        <w:jc w:val="both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55228E" w:rsidP="00747131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lang w:eastAsia="de-DE"/>
        </w:rPr>
      </w:pPr>
      <w:r w:rsidRPr="0089489C">
        <w:rPr>
          <w:rFonts w:eastAsiaTheme="minorEastAsia" w:cstheme="minorHAnsi"/>
          <w:b/>
          <w:sz w:val="24"/>
          <w:szCs w:val="24"/>
          <w:lang w:eastAsia="de-DE"/>
        </w:rPr>
        <w:t>Kreuzen</w:t>
      </w:r>
      <w:r w:rsidR="00792E83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Sie </w:t>
      </w:r>
      <w:r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an, welche Begriffe aus dem </w:t>
      </w:r>
      <w:r w:rsidR="00740FC6" w:rsidRPr="0089489C">
        <w:rPr>
          <w:rFonts w:eastAsiaTheme="minorEastAsia" w:cstheme="minorHAnsi"/>
          <w:b/>
          <w:sz w:val="24"/>
          <w:szCs w:val="24"/>
          <w:lang w:eastAsia="de-DE"/>
        </w:rPr>
        <w:t>Kommunikationsquadrat</w:t>
      </w:r>
      <w:r w:rsidR="00747131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</w:t>
      </w:r>
      <w:r w:rsidRPr="0089489C">
        <w:rPr>
          <w:rFonts w:eastAsiaTheme="minorEastAsia" w:cstheme="minorHAnsi"/>
          <w:b/>
          <w:sz w:val="24"/>
          <w:szCs w:val="24"/>
          <w:lang w:eastAsia="de-DE"/>
        </w:rPr>
        <w:t>stammen:</w:t>
      </w:r>
    </w:p>
    <w:p w:rsidR="00747131" w:rsidRPr="0089489C" w:rsidRDefault="00747131" w:rsidP="00747131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747131" w:rsidP="00C7378C">
      <w:pPr>
        <w:spacing w:after="0" w:line="360" w:lineRule="auto"/>
        <w:ind w:left="107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>O Sach</w:t>
      </w:r>
      <w:r w:rsidR="00740FC6" w:rsidRPr="0089489C">
        <w:rPr>
          <w:rFonts w:eastAsiaTheme="minorEastAsia" w:cstheme="minorHAnsi"/>
          <w:sz w:val="24"/>
          <w:szCs w:val="24"/>
          <w:lang w:eastAsia="de-DE"/>
        </w:rPr>
        <w:t>inhalt</w:t>
      </w:r>
    </w:p>
    <w:p w:rsidR="004542A5" w:rsidRPr="0089489C" w:rsidRDefault="004542A5" w:rsidP="00C7378C">
      <w:pPr>
        <w:spacing w:after="0" w:line="360" w:lineRule="auto"/>
        <w:ind w:left="107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Meinungsäußerung</w:t>
      </w:r>
    </w:p>
    <w:p w:rsidR="004542A5" w:rsidRPr="0089489C" w:rsidRDefault="004542A5" w:rsidP="00C7378C">
      <w:pPr>
        <w:spacing w:after="0" w:line="360" w:lineRule="auto"/>
        <w:ind w:left="107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Selbst</w:t>
      </w:r>
      <w:r w:rsidR="00740FC6" w:rsidRPr="0089489C">
        <w:rPr>
          <w:rFonts w:eastAsiaTheme="minorEastAsia" w:cstheme="minorHAnsi"/>
          <w:sz w:val="24"/>
          <w:szCs w:val="24"/>
          <w:lang w:eastAsia="de-DE"/>
        </w:rPr>
        <w:t>kundgabe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 </w:t>
      </w:r>
    </w:p>
    <w:p w:rsidR="00747131" w:rsidRPr="0089489C" w:rsidRDefault="004542A5" w:rsidP="00C7378C">
      <w:pPr>
        <w:spacing w:after="0" w:line="360" w:lineRule="auto"/>
        <w:ind w:left="107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0FC6" w:rsidRPr="0089489C">
        <w:rPr>
          <w:rFonts w:eastAsiaTheme="minorEastAsia" w:cstheme="minorHAnsi"/>
          <w:sz w:val="24"/>
          <w:szCs w:val="24"/>
          <w:lang w:eastAsia="de-DE"/>
        </w:rPr>
        <w:t>Äußerung</w:t>
      </w:r>
    </w:p>
    <w:p w:rsidR="00747131" w:rsidRPr="0089489C" w:rsidRDefault="004542A5" w:rsidP="00C7378C">
      <w:pPr>
        <w:spacing w:after="0" w:line="360" w:lineRule="auto"/>
        <w:ind w:left="107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Beziehungshinweis</w:t>
      </w:r>
    </w:p>
    <w:p w:rsidR="004542A5" w:rsidRPr="0089489C" w:rsidRDefault="004542A5" w:rsidP="00C7378C">
      <w:pPr>
        <w:spacing w:after="0" w:line="360" w:lineRule="auto"/>
        <w:ind w:left="107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Appell</w:t>
      </w:r>
    </w:p>
    <w:p w:rsidR="00747131" w:rsidRPr="00747131" w:rsidRDefault="004542A5" w:rsidP="00C7378C">
      <w:pPr>
        <w:spacing w:after="0" w:line="360" w:lineRule="auto"/>
        <w:ind w:left="1077"/>
        <w:rPr>
          <w:rFonts w:eastAsiaTheme="minorEastAsia" w:cstheme="minorHAnsi"/>
          <w:sz w:val="24"/>
          <w:szCs w:val="24"/>
          <w:lang w:val="en-GB" w:eastAsia="de-DE"/>
        </w:rPr>
      </w:pPr>
      <w:r>
        <w:rPr>
          <w:rFonts w:eastAsiaTheme="minorEastAsia" w:cstheme="minorHAnsi"/>
          <w:sz w:val="24"/>
          <w:szCs w:val="24"/>
          <w:lang w:val="en-GB" w:eastAsia="de-DE"/>
        </w:rPr>
        <w:t xml:space="preserve">O </w:t>
      </w:r>
      <w:proofErr w:type="spellStart"/>
      <w:r w:rsidR="00747131" w:rsidRPr="00747131">
        <w:rPr>
          <w:rFonts w:eastAsiaTheme="minorEastAsia" w:cstheme="minorHAnsi"/>
          <w:sz w:val="24"/>
          <w:szCs w:val="24"/>
          <w:lang w:val="en-GB" w:eastAsia="de-DE"/>
        </w:rPr>
        <w:t>Stimmung</w:t>
      </w:r>
      <w:proofErr w:type="spellEnd"/>
    </w:p>
    <w:p w:rsidR="00747131" w:rsidRPr="0089489C" w:rsidRDefault="00740FC6" w:rsidP="00740FC6">
      <w:pPr>
        <w:pStyle w:val="Listenabsatz"/>
        <w:numPr>
          <w:ilvl w:val="0"/>
          <w:numId w:val="3"/>
        </w:numPr>
        <w:spacing w:after="0" w:line="240" w:lineRule="auto"/>
        <w:rPr>
          <w:rFonts w:eastAsiaTheme="minorEastAsia" w:cstheme="minorHAnsi"/>
          <w:b/>
          <w:sz w:val="24"/>
          <w:szCs w:val="24"/>
          <w:lang w:eastAsia="de-DE"/>
        </w:rPr>
      </w:pPr>
      <w:r w:rsidRPr="0089489C">
        <w:rPr>
          <w:rFonts w:eastAsiaTheme="minorEastAsia" w:cstheme="minorHAnsi"/>
          <w:b/>
          <w:sz w:val="24"/>
          <w:szCs w:val="24"/>
          <w:lang w:eastAsia="de-DE"/>
        </w:rPr>
        <w:t>Tragen Sie die Begriffe in das Schema hier ein.</w:t>
      </w:r>
    </w:p>
    <w:p w:rsidR="00740FC6" w:rsidRPr="0089489C" w:rsidRDefault="00740FC6" w:rsidP="00740FC6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1C29D2" w:rsidRPr="0089489C" w:rsidRDefault="001C29D2" w:rsidP="00740FC6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209" w:type="dxa"/>
        <w:tblLook w:val="04A0" w:firstRow="1" w:lastRow="0" w:firstColumn="1" w:lastColumn="0" w:noHBand="0" w:noVBand="1"/>
      </w:tblPr>
      <w:tblGrid>
        <w:gridCol w:w="1451"/>
        <w:gridCol w:w="1913"/>
        <w:gridCol w:w="1772"/>
        <w:gridCol w:w="1276"/>
      </w:tblGrid>
      <w:tr w:rsidR="001C29D2" w:rsidTr="001C29D2">
        <w:trPr>
          <w:trHeight w:val="89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  <w:p w:rsidR="001C29D2" w:rsidRPr="0089489C" w:rsidRDefault="001C29D2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  <w:p w:rsidR="001C29D2" w:rsidRPr="0089489C" w:rsidRDefault="001C29D2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44"/>
                <w:szCs w:val="4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</w:tr>
      <w:tr w:rsidR="001C29D2" w:rsidTr="001C29D2"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</w:tr>
      <w:tr w:rsidR="001C29D2" w:rsidTr="001C29D2">
        <w:trPr>
          <w:trHeight w:val="692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right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</w:tr>
      <w:tr w:rsidR="00740FC6" w:rsidTr="001C29D2">
        <w:trPr>
          <w:trHeight w:val="99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740FC6" w:rsidRPr="0089489C" w:rsidRDefault="00740FC6" w:rsidP="00740FC6">
            <w:pPr>
              <w:rPr>
                <w:rFonts w:eastAsiaTheme="minorEastAsia" w:cstheme="minorHAnsi"/>
                <w:sz w:val="24"/>
                <w:szCs w:val="24"/>
                <w:lang w:eastAsia="de-DE"/>
              </w:rPr>
            </w:pPr>
          </w:p>
        </w:tc>
      </w:tr>
    </w:tbl>
    <w:p w:rsidR="00740FC6" w:rsidRPr="0089489C" w:rsidRDefault="00740FC6" w:rsidP="00740FC6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740FC6" w:rsidRPr="0089489C" w:rsidRDefault="00740FC6" w:rsidP="00740FC6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55228E" w:rsidP="00747131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lang w:eastAsia="de-DE"/>
        </w:rPr>
      </w:pPr>
      <w:r w:rsidRPr="0089489C">
        <w:rPr>
          <w:rFonts w:eastAsiaTheme="minorEastAsia" w:cstheme="minorHAnsi"/>
          <w:b/>
          <w:sz w:val="24"/>
          <w:szCs w:val="24"/>
          <w:lang w:eastAsia="de-DE"/>
        </w:rPr>
        <w:t>Ergänzen</w:t>
      </w:r>
      <w:r w:rsidR="00473D54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Sie </w:t>
      </w:r>
      <w:r w:rsidR="00747131" w:rsidRPr="0089489C">
        <w:rPr>
          <w:rFonts w:eastAsiaTheme="minorEastAsia" w:cstheme="minorHAnsi"/>
          <w:b/>
          <w:sz w:val="24"/>
          <w:szCs w:val="24"/>
          <w:lang w:eastAsia="de-DE"/>
        </w:rPr>
        <w:t>kurz, wofür die</w:t>
      </w:r>
      <w:r w:rsidR="00F90C36" w:rsidRPr="0089489C">
        <w:rPr>
          <w:rFonts w:eastAsiaTheme="minorEastAsia" w:cstheme="minorHAnsi"/>
          <w:b/>
          <w:sz w:val="24"/>
          <w:szCs w:val="24"/>
          <w:lang w:eastAsia="de-DE"/>
        </w:rPr>
        <w:t>se</w:t>
      </w:r>
      <w:r w:rsidR="00747131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vier Seiten jeweils stehen</w:t>
      </w:r>
      <w:r w:rsidR="004542A5" w:rsidRPr="0089489C">
        <w:rPr>
          <w:rFonts w:eastAsiaTheme="minorEastAsia" w:cstheme="minorHAnsi"/>
          <w:b/>
          <w:sz w:val="24"/>
          <w:szCs w:val="24"/>
          <w:lang w:eastAsia="de-DE"/>
        </w:rPr>
        <w:t>:</w:t>
      </w:r>
    </w:p>
    <w:p w:rsidR="00747131" w:rsidRPr="0089489C" w:rsidRDefault="00747131" w:rsidP="00747131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  <w:lang w:eastAsia="de-DE"/>
        </w:rPr>
      </w:pPr>
    </w:p>
    <w:p w:rsidR="00747131" w:rsidRPr="00747131" w:rsidRDefault="004542A5" w:rsidP="004542A5">
      <w:pPr>
        <w:spacing w:after="0" w:line="360" w:lineRule="auto"/>
        <w:ind w:left="720"/>
        <w:rPr>
          <w:rFonts w:eastAsiaTheme="minorEastAsia" w:cstheme="minorHAnsi"/>
          <w:sz w:val="24"/>
          <w:szCs w:val="24"/>
          <w:lang w:val="en-GB" w:eastAsia="de-DE"/>
        </w:rPr>
      </w:pPr>
      <w:r>
        <w:rPr>
          <w:rFonts w:eastAsiaTheme="minorEastAsia" w:cstheme="minorHAnsi"/>
          <w:sz w:val="24"/>
          <w:szCs w:val="24"/>
          <w:lang w:val="en-GB" w:eastAsia="de-DE"/>
        </w:rPr>
        <w:t>__________________</w:t>
      </w:r>
      <w:r w:rsidR="00747131" w:rsidRPr="00747131">
        <w:rPr>
          <w:rFonts w:eastAsiaTheme="minorEastAsia" w:cstheme="minorHAnsi"/>
          <w:sz w:val="24"/>
          <w:szCs w:val="24"/>
          <w:lang w:val="en-GB" w:eastAsia="de-DE"/>
        </w:rPr>
        <w:t>-</w:t>
      </w:r>
      <w:proofErr w:type="spellStart"/>
      <w:r w:rsidR="00747131" w:rsidRPr="00747131">
        <w:rPr>
          <w:rFonts w:eastAsiaTheme="minorEastAsia" w:cstheme="minorHAnsi"/>
          <w:sz w:val="24"/>
          <w:szCs w:val="24"/>
          <w:lang w:val="en-GB" w:eastAsia="de-DE"/>
        </w:rPr>
        <w:t>ebene</w:t>
      </w:r>
      <w:proofErr w:type="spellEnd"/>
      <w:r w:rsidR="00747131" w:rsidRPr="00747131">
        <w:rPr>
          <w:rFonts w:eastAsiaTheme="minorEastAsia" w:cstheme="minorHAnsi"/>
          <w:sz w:val="24"/>
          <w:szCs w:val="24"/>
          <w:lang w:val="en-GB" w:eastAsia="de-DE"/>
        </w:rPr>
        <w:t>: ____________________</w:t>
      </w:r>
      <w:r>
        <w:rPr>
          <w:rFonts w:eastAsiaTheme="minorEastAsia" w:cstheme="minorHAnsi"/>
          <w:sz w:val="24"/>
          <w:szCs w:val="24"/>
          <w:lang w:val="en-GB" w:eastAsia="de-DE"/>
        </w:rPr>
        <w:t>_________________________</w:t>
      </w:r>
    </w:p>
    <w:p w:rsidR="00747131" w:rsidRPr="00747131" w:rsidRDefault="004542A5" w:rsidP="004542A5">
      <w:pPr>
        <w:spacing w:after="0" w:line="360" w:lineRule="auto"/>
        <w:ind w:left="720"/>
        <w:rPr>
          <w:rFonts w:eastAsiaTheme="minorEastAsia" w:cstheme="minorHAnsi"/>
          <w:sz w:val="24"/>
          <w:szCs w:val="24"/>
          <w:lang w:eastAsia="de-DE"/>
        </w:rPr>
      </w:pPr>
      <w:r>
        <w:rPr>
          <w:rFonts w:eastAsiaTheme="minorEastAsia" w:cstheme="minorHAnsi"/>
          <w:sz w:val="24"/>
          <w:szCs w:val="24"/>
          <w:lang w:val="en-GB" w:eastAsia="de-DE"/>
        </w:rPr>
        <w:t>__________________</w:t>
      </w:r>
      <w:r w:rsidR="00747131" w:rsidRPr="00747131">
        <w:rPr>
          <w:rFonts w:eastAsiaTheme="minorEastAsia" w:cstheme="minorHAnsi"/>
          <w:sz w:val="24"/>
          <w:szCs w:val="24"/>
          <w:lang w:val="en-GB" w:eastAsia="de-DE"/>
        </w:rPr>
        <w:t>-</w:t>
      </w:r>
      <w:proofErr w:type="spellStart"/>
      <w:r w:rsidR="00747131" w:rsidRPr="00747131">
        <w:rPr>
          <w:rFonts w:eastAsiaTheme="minorEastAsia" w:cstheme="minorHAnsi"/>
          <w:sz w:val="24"/>
          <w:szCs w:val="24"/>
          <w:lang w:val="en-GB" w:eastAsia="de-DE"/>
        </w:rPr>
        <w:t>ebene</w:t>
      </w:r>
      <w:proofErr w:type="spellEnd"/>
      <w:r w:rsidR="00747131" w:rsidRPr="00747131">
        <w:rPr>
          <w:rFonts w:eastAsiaTheme="minorEastAsia" w:cstheme="minorHAnsi"/>
          <w:sz w:val="24"/>
          <w:szCs w:val="24"/>
          <w:lang w:eastAsia="de-DE"/>
        </w:rPr>
        <w:t>: _________________</w:t>
      </w:r>
      <w:r>
        <w:rPr>
          <w:rFonts w:eastAsiaTheme="minorEastAsia" w:cstheme="minorHAnsi"/>
          <w:sz w:val="24"/>
          <w:szCs w:val="24"/>
          <w:lang w:eastAsia="de-DE"/>
        </w:rPr>
        <w:t>________________________</w:t>
      </w:r>
      <w:r w:rsidR="00747131" w:rsidRPr="00747131">
        <w:rPr>
          <w:rFonts w:eastAsiaTheme="minorEastAsia" w:cstheme="minorHAnsi"/>
          <w:sz w:val="24"/>
          <w:szCs w:val="24"/>
          <w:lang w:eastAsia="de-DE"/>
        </w:rPr>
        <w:t>__</w:t>
      </w:r>
      <w:r>
        <w:rPr>
          <w:rFonts w:eastAsiaTheme="minorEastAsia" w:cstheme="minorHAnsi"/>
          <w:sz w:val="24"/>
          <w:szCs w:val="24"/>
          <w:lang w:eastAsia="de-DE"/>
        </w:rPr>
        <w:t>__</w:t>
      </w:r>
    </w:p>
    <w:p w:rsidR="00747131" w:rsidRPr="00747131" w:rsidRDefault="004542A5" w:rsidP="004542A5">
      <w:pPr>
        <w:spacing w:after="0" w:line="360" w:lineRule="auto"/>
        <w:ind w:left="720"/>
        <w:rPr>
          <w:rFonts w:eastAsiaTheme="minorEastAsia" w:cstheme="minorHAnsi"/>
          <w:sz w:val="24"/>
          <w:szCs w:val="24"/>
          <w:lang w:eastAsia="de-DE"/>
        </w:rPr>
      </w:pPr>
      <w:r>
        <w:rPr>
          <w:rFonts w:eastAsiaTheme="minorEastAsia" w:cstheme="minorHAnsi"/>
          <w:sz w:val="24"/>
          <w:szCs w:val="24"/>
          <w:lang w:eastAsia="de-DE"/>
        </w:rPr>
        <w:t>__________________</w:t>
      </w:r>
      <w:r w:rsidR="00747131" w:rsidRPr="00747131">
        <w:rPr>
          <w:rFonts w:eastAsiaTheme="minorEastAsia" w:cstheme="minorHAnsi"/>
          <w:sz w:val="24"/>
          <w:szCs w:val="24"/>
          <w:lang w:eastAsia="de-DE"/>
        </w:rPr>
        <w:t xml:space="preserve"> -ebene</w:t>
      </w:r>
      <w:r>
        <w:rPr>
          <w:rFonts w:eastAsiaTheme="minorEastAsia" w:cstheme="minorHAnsi"/>
          <w:sz w:val="24"/>
          <w:szCs w:val="24"/>
          <w:lang w:eastAsia="de-DE"/>
        </w:rPr>
        <w:t>: ______</w:t>
      </w:r>
      <w:r w:rsidR="00747131" w:rsidRPr="00747131">
        <w:rPr>
          <w:rFonts w:eastAsiaTheme="minorEastAsia" w:cstheme="minorHAnsi"/>
          <w:sz w:val="24"/>
          <w:szCs w:val="24"/>
          <w:lang w:eastAsia="de-DE"/>
        </w:rPr>
        <w:t>__</w:t>
      </w:r>
      <w:r>
        <w:rPr>
          <w:rFonts w:eastAsiaTheme="minorEastAsia" w:cstheme="minorHAnsi"/>
          <w:sz w:val="24"/>
          <w:szCs w:val="24"/>
          <w:lang w:eastAsia="de-DE"/>
        </w:rPr>
        <w:t>______________________________</w:t>
      </w:r>
      <w:r w:rsidR="00747131" w:rsidRPr="00747131">
        <w:rPr>
          <w:rFonts w:eastAsiaTheme="minorEastAsia" w:cstheme="minorHAnsi"/>
          <w:sz w:val="24"/>
          <w:szCs w:val="24"/>
          <w:lang w:eastAsia="de-DE"/>
        </w:rPr>
        <w:t>______</w:t>
      </w:r>
    </w:p>
    <w:p w:rsidR="00747131" w:rsidRPr="00747131" w:rsidRDefault="00747131" w:rsidP="004542A5">
      <w:pPr>
        <w:spacing w:after="0" w:line="360" w:lineRule="auto"/>
        <w:ind w:left="720"/>
        <w:rPr>
          <w:rFonts w:eastAsiaTheme="minorEastAsia" w:cstheme="minorHAnsi"/>
          <w:sz w:val="24"/>
          <w:szCs w:val="24"/>
          <w:lang w:eastAsia="de-DE"/>
        </w:rPr>
      </w:pPr>
      <w:r w:rsidRPr="00747131">
        <w:rPr>
          <w:rFonts w:eastAsiaTheme="minorEastAsia" w:cstheme="minorHAnsi"/>
          <w:sz w:val="24"/>
          <w:szCs w:val="24"/>
          <w:lang w:eastAsia="de-DE"/>
        </w:rPr>
        <w:t>__________________-ebene</w:t>
      </w:r>
      <w:r w:rsidR="004542A5">
        <w:rPr>
          <w:rFonts w:eastAsiaTheme="minorEastAsia" w:cstheme="minorHAnsi"/>
          <w:sz w:val="24"/>
          <w:szCs w:val="24"/>
          <w:lang w:eastAsia="de-DE"/>
        </w:rPr>
        <w:t>: ___</w:t>
      </w:r>
      <w:r w:rsidRPr="00747131">
        <w:rPr>
          <w:rFonts w:eastAsiaTheme="minorEastAsia" w:cstheme="minorHAnsi"/>
          <w:sz w:val="24"/>
          <w:szCs w:val="24"/>
          <w:lang w:eastAsia="de-DE"/>
        </w:rPr>
        <w:t>________________________________________</w:t>
      </w:r>
      <w:r w:rsidR="004542A5">
        <w:rPr>
          <w:rFonts w:eastAsiaTheme="minorEastAsia" w:cstheme="minorHAnsi"/>
          <w:sz w:val="24"/>
          <w:szCs w:val="24"/>
          <w:lang w:eastAsia="de-DE"/>
        </w:rPr>
        <w:t>__</w:t>
      </w:r>
    </w:p>
    <w:p w:rsidR="00747131" w:rsidRPr="00747131" w:rsidRDefault="00747131" w:rsidP="004542A5">
      <w:pPr>
        <w:spacing w:after="0" w:line="360" w:lineRule="auto"/>
        <w:ind w:left="720"/>
        <w:rPr>
          <w:rFonts w:eastAsiaTheme="minorEastAsia" w:cstheme="minorHAnsi"/>
          <w:sz w:val="24"/>
          <w:szCs w:val="24"/>
          <w:lang w:val="en-GB" w:eastAsia="de-DE"/>
        </w:rPr>
      </w:pPr>
    </w:p>
    <w:p w:rsidR="00747131" w:rsidRPr="0089489C" w:rsidRDefault="001C29D2" w:rsidP="0054764B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lang w:eastAsia="de-DE"/>
        </w:rPr>
      </w:pPr>
      <w:r w:rsidRPr="0089489C">
        <w:rPr>
          <w:rFonts w:eastAsiaTheme="minorEastAsia" w:cstheme="minorHAnsi"/>
          <w:b/>
          <w:sz w:val="24"/>
          <w:szCs w:val="24"/>
          <w:lang w:eastAsia="de-DE"/>
        </w:rPr>
        <w:t>Das Modell von Schulz v.</w:t>
      </w:r>
      <w:r w:rsidR="00A52580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Thun </w:t>
      </w:r>
      <w:r w:rsidR="002021E8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arbeitet mit dem Begriff der „vier Ohren“. </w:t>
      </w:r>
      <w:r w:rsidR="00EB7479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Entscheiden Sie, welche </w:t>
      </w:r>
      <w:r w:rsidR="005873AE" w:rsidRPr="0089489C">
        <w:rPr>
          <w:rFonts w:eastAsiaTheme="minorEastAsia" w:cstheme="minorHAnsi"/>
          <w:b/>
          <w:sz w:val="24"/>
          <w:szCs w:val="24"/>
          <w:lang w:eastAsia="de-DE"/>
        </w:rPr>
        <w:t>d</w:t>
      </w:r>
      <w:r w:rsidR="00EB7479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er drei </w:t>
      </w:r>
      <w:r w:rsidR="0055228E" w:rsidRPr="0089489C">
        <w:rPr>
          <w:rFonts w:eastAsiaTheme="minorEastAsia" w:cstheme="minorHAnsi"/>
          <w:b/>
          <w:sz w:val="24"/>
          <w:szCs w:val="24"/>
          <w:lang w:eastAsia="de-DE"/>
        </w:rPr>
        <w:t>Aussagen</w:t>
      </w:r>
      <w:r w:rsidR="00EB7479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am ehesten</w:t>
      </w:r>
      <w:r w:rsidR="00C7378C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</w:t>
      </w:r>
      <w:r w:rsidR="0054764B" w:rsidRPr="0089489C">
        <w:rPr>
          <w:rFonts w:eastAsiaTheme="minorEastAsia" w:cstheme="minorHAnsi"/>
          <w:b/>
          <w:sz w:val="24"/>
          <w:szCs w:val="24"/>
          <w:lang w:eastAsia="de-DE"/>
        </w:rPr>
        <w:t>zutrifft.</w:t>
      </w:r>
      <w:r w:rsidR="0089489C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D</w:t>
      </w:r>
      <w:r w:rsidR="0089489C">
        <w:rPr>
          <w:rFonts w:eastAsiaTheme="minorEastAsia" w:cstheme="minorHAnsi"/>
          <w:b/>
          <w:sz w:val="24"/>
          <w:szCs w:val="24"/>
          <w:lang w:eastAsia="de-DE"/>
        </w:rPr>
        <w:t>er Begriff vier Ohren bezeichnet…</w:t>
      </w:r>
    </w:p>
    <w:p w:rsidR="0054764B" w:rsidRPr="0089489C" w:rsidRDefault="0054764B" w:rsidP="0054764B">
      <w:pPr>
        <w:spacing w:after="0" w:line="240" w:lineRule="auto"/>
        <w:ind w:left="720"/>
        <w:contextualSpacing/>
        <w:rPr>
          <w:rFonts w:eastAsiaTheme="minorEastAsia" w:cstheme="minorHAnsi"/>
          <w:b/>
          <w:sz w:val="24"/>
          <w:szCs w:val="24"/>
          <w:lang w:eastAsia="de-DE"/>
        </w:rPr>
      </w:pPr>
    </w:p>
    <w:p w:rsidR="00747131" w:rsidRPr="0089489C" w:rsidRDefault="004542A5" w:rsidP="004542A5">
      <w:pPr>
        <w:spacing w:after="0" w:line="360" w:lineRule="auto"/>
        <w:ind w:left="56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  </w:t>
      </w:r>
      <w:r w:rsidR="0089489C">
        <w:rPr>
          <w:rFonts w:eastAsiaTheme="minorEastAsia" w:cstheme="minorHAnsi"/>
          <w:sz w:val="24"/>
          <w:szCs w:val="24"/>
          <w:lang w:eastAsia="de-DE"/>
        </w:rPr>
        <w:t>d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ie vier verschiedenen Tonlagen, in der man eine Nachricht äußern kann</w:t>
      </w:r>
      <w:r w:rsidR="0089489C">
        <w:rPr>
          <w:rFonts w:eastAsiaTheme="minorEastAsia" w:cstheme="minorHAnsi"/>
          <w:sz w:val="24"/>
          <w:szCs w:val="24"/>
          <w:lang w:eastAsia="de-DE"/>
        </w:rPr>
        <w:t>.</w:t>
      </w:r>
    </w:p>
    <w:p w:rsidR="00747131" w:rsidRPr="0089489C" w:rsidRDefault="004542A5" w:rsidP="004542A5">
      <w:pPr>
        <w:spacing w:after="0" w:line="360" w:lineRule="auto"/>
        <w:ind w:left="567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  </w:t>
      </w:r>
      <w:r w:rsidR="0089489C">
        <w:rPr>
          <w:rFonts w:eastAsiaTheme="minorEastAsia" w:cstheme="minorHAnsi"/>
          <w:sz w:val="24"/>
          <w:szCs w:val="24"/>
          <w:lang w:eastAsia="de-DE"/>
        </w:rPr>
        <w:t>d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ie vier verschiedenen </w:t>
      </w:r>
      <w:r w:rsidR="00740FC6" w:rsidRPr="0089489C">
        <w:rPr>
          <w:rFonts w:eastAsiaTheme="minorEastAsia" w:cstheme="minorHAnsi"/>
          <w:sz w:val="24"/>
          <w:szCs w:val="24"/>
          <w:lang w:eastAsia="de-DE"/>
        </w:rPr>
        <w:t>Möglichkeiten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, wie man eine Nachricht verstehen kann</w:t>
      </w:r>
      <w:r w:rsidR="0089489C">
        <w:rPr>
          <w:rFonts w:eastAsiaTheme="minorEastAsia" w:cstheme="minorHAnsi"/>
          <w:sz w:val="24"/>
          <w:szCs w:val="24"/>
          <w:lang w:eastAsia="de-DE"/>
        </w:rPr>
        <w:t>.</w:t>
      </w:r>
    </w:p>
    <w:p w:rsidR="00747131" w:rsidRPr="0089489C" w:rsidRDefault="004542A5" w:rsidP="004542A5">
      <w:pPr>
        <w:spacing w:after="0" w:line="360" w:lineRule="auto"/>
        <w:ind w:left="567" w:right="-284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  </w:t>
      </w:r>
      <w:r w:rsidR="0089489C">
        <w:rPr>
          <w:rFonts w:eastAsiaTheme="minorEastAsia" w:cstheme="minorHAnsi"/>
          <w:sz w:val="24"/>
          <w:szCs w:val="24"/>
          <w:lang w:eastAsia="de-DE"/>
        </w:rPr>
        <w:t>d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ie vier verschiedenen Möglichkeiten, mit dem Gesprächspartner in Kontakt zu treten</w:t>
      </w:r>
      <w:r w:rsidR="0089489C">
        <w:rPr>
          <w:rFonts w:eastAsiaTheme="minorEastAsia" w:cstheme="minorHAnsi"/>
          <w:sz w:val="24"/>
          <w:szCs w:val="24"/>
          <w:lang w:eastAsia="de-DE"/>
        </w:rPr>
        <w:t>.</w:t>
      </w:r>
    </w:p>
    <w:p w:rsidR="00747131" w:rsidRPr="0089489C" w:rsidRDefault="00747131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747131" w:rsidRDefault="00747131" w:rsidP="004542A5">
      <w:pPr>
        <w:numPr>
          <w:ilvl w:val="0"/>
          <w:numId w:val="3"/>
        </w:numPr>
        <w:spacing w:after="0" w:line="360" w:lineRule="auto"/>
        <w:rPr>
          <w:rFonts w:eastAsiaTheme="minorEastAsia" w:cstheme="minorHAnsi"/>
          <w:sz w:val="24"/>
          <w:szCs w:val="24"/>
          <w:lang w:val="en-GB" w:eastAsia="de-DE"/>
        </w:rPr>
      </w:pPr>
      <w:r w:rsidRPr="0089489C">
        <w:rPr>
          <w:rFonts w:eastAsiaTheme="minorEastAsia" w:cstheme="minorHAnsi"/>
          <w:b/>
          <w:sz w:val="24"/>
          <w:szCs w:val="24"/>
          <w:lang w:eastAsia="de-DE"/>
        </w:rPr>
        <w:t>Können mehrere der vier Ohren gleichzeitig „geöffnet“ sein?</w:t>
      </w:r>
      <w:r w:rsidRPr="0089489C">
        <w:rPr>
          <w:rFonts w:eastAsiaTheme="minorEastAsia" w:cstheme="minorHAnsi"/>
          <w:sz w:val="24"/>
          <w:szCs w:val="24"/>
          <w:lang w:eastAsia="de-DE"/>
        </w:rPr>
        <w:t xml:space="preserve"> </w:t>
      </w:r>
      <w:r w:rsidR="004542A5" w:rsidRPr="0089489C">
        <w:rPr>
          <w:rFonts w:eastAsiaTheme="minorEastAsia" w:cstheme="minorHAnsi"/>
          <w:sz w:val="24"/>
          <w:szCs w:val="24"/>
          <w:lang w:eastAsia="de-DE"/>
        </w:rPr>
        <w:t xml:space="preserve">     </w:t>
      </w:r>
      <w:r w:rsidRPr="0089489C">
        <w:rPr>
          <w:rFonts w:eastAsiaTheme="minorEastAsia" w:cstheme="minorHAnsi"/>
          <w:sz w:val="24"/>
          <w:szCs w:val="24"/>
          <w:lang w:eastAsia="de-DE"/>
        </w:rPr>
        <w:t xml:space="preserve">    </w:t>
      </w:r>
      <w:r w:rsidRPr="00747131">
        <w:rPr>
          <w:rFonts w:eastAsiaTheme="minorEastAsia" w:cstheme="minorHAnsi"/>
          <w:sz w:val="24"/>
          <w:szCs w:val="24"/>
          <w:lang w:val="en-GB" w:eastAsia="de-DE"/>
        </w:rPr>
        <w:t>O NEIN          O JA</w:t>
      </w:r>
    </w:p>
    <w:p w:rsidR="00747131" w:rsidRDefault="00747131" w:rsidP="00747131">
      <w:pPr>
        <w:spacing w:after="0" w:line="240" w:lineRule="auto"/>
        <w:rPr>
          <w:rFonts w:eastAsiaTheme="minorEastAsia" w:cstheme="minorHAnsi"/>
          <w:sz w:val="24"/>
          <w:szCs w:val="24"/>
          <w:lang w:val="en-GB" w:eastAsia="de-DE"/>
        </w:rPr>
      </w:pPr>
    </w:p>
    <w:p w:rsidR="00747131" w:rsidRPr="0089489C" w:rsidRDefault="0030469F" w:rsidP="00747131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lang w:eastAsia="de-DE"/>
        </w:rPr>
      </w:pPr>
      <w:r w:rsidRPr="0089489C">
        <w:rPr>
          <w:rFonts w:eastAsiaTheme="minorEastAsia" w:cstheme="minorHAnsi"/>
          <w:b/>
          <w:sz w:val="24"/>
          <w:szCs w:val="24"/>
          <w:lang w:eastAsia="de-DE"/>
        </w:rPr>
        <w:t>I</w:t>
      </w:r>
      <w:r w:rsidR="00747131" w:rsidRPr="0089489C">
        <w:rPr>
          <w:rFonts w:eastAsiaTheme="minorEastAsia" w:cstheme="minorHAnsi"/>
          <w:b/>
          <w:sz w:val="24"/>
          <w:szCs w:val="24"/>
          <w:lang w:eastAsia="de-DE"/>
        </w:rPr>
        <w:t>n einem Gespräch</w:t>
      </w:r>
      <w:r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kann es</w:t>
      </w:r>
      <w:r w:rsidR="00747131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leicht zu Missverständnissen kommen</w:t>
      </w:r>
      <w:r w:rsidRPr="0089489C">
        <w:rPr>
          <w:rFonts w:eastAsiaTheme="minorEastAsia" w:cstheme="minorHAnsi"/>
          <w:b/>
          <w:sz w:val="24"/>
          <w:szCs w:val="24"/>
          <w:lang w:eastAsia="de-DE"/>
        </w:rPr>
        <w:t>. Wählen Sie</w:t>
      </w:r>
      <w:r w:rsidR="003F0BA6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</w:t>
      </w:r>
      <w:r w:rsidR="0055228E" w:rsidRPr="0089489C">
        <w:rPr>
          <w:rFonts w:eastAsiaTheme="minorEastAsia" w:cstheme="minorHAnsi"/>
          <w:b/>
          <w:sz w:val="24"/>
          <w:szCs w:val="24"/>
          <w:lang w:eastAsia="de-DE"/>
        </w:rPr>
        <w:t>eine</w:t>
      </w:r>
      <w:r w:rsidR="003F0BA6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passende Begründung aus.</w:t>
      </w:r>
    </w:p>
    <w:p w:rsidR="00747131" w:rsidRPr="0089489C" w:rsidRDefault="00747131" w:rsidP="00747131">
      <w:pPr>
        <w:spacing w:after="0" w:line="240" w:lineRule="auto"/>
        <w:ind w:left="360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4542A5" w:rsidP="004542A5">
      <w:pPr>
        <w:spacing w:after="0" w:line="360" w:lineRule="auto"/>
        <w:ind w:left="426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Der Empfänger hat nicht alle seine „vier Ohren“ gleichermaßen aktiviert.</w:t>
      </w:r>
    </w:p>
    <w:p w:rsidR="00747131" w:rsidRPr="0089489C" w:rsidRDefault="004542A5" w:rsidP="004542A5">
      <w:pPr>
        <w:spacing w:after="0" w:line="360" w:lineRule="auto"/>
        <w:ind w:left="426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Die Nachricht wird auf </w:t>
      </w:r>
      <w:r w:rsidR="0055228E" w:rsidRPr="0089489C">
        <w:rPr>
          <w:rFonts w:eastAsiaTheme="minorEastAsia" w:cstheme="minorHAnsi"/>
          <w:sz w:val="24"/>
          <w:szCs w:val="24"/>
          <w:lang w:eastAsia="de-DE"/>
        </w:rPr>
        <w:t>der gleichen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 Ebene gehört, </w:t>
      </w:r>
      <w:r w:rsidR="0055228E" w:rsidRPr="0089489C">
        <w:rPr>
          <w:rFonts w:eastAsiaTheme="minorEastAsia" w:cstheme="minorHAnsi"/>
          <w:sz w:val="24"/>
          <w:szCs w:val="24"/>
          <w:lang w:eastAsia="de-DE"/>
        </w:rPr>
        <w:t>auf der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 sie geäußert worden ist.</w:t>
      </w:r>
    </w:p>
    <w:p w:rsidR="00747131" w:rsidRPr="0089489C" w:rsidRDefault="004542A5" w:rsidP="004542A5">
      <w:pPr>
        <w:spacing w:after="0" w:line="360" w:lineRule="auto"/>
        <w:ind w:left="426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Die Nachricht wird auf einer anderen Ebene </w:t>
      </w:r>
      <w:r w:rsidR="0055228E" w:rsidRPr="0089489C">
        <w:rPr>
          <w:rFonts w:eastAsiaTheme="minorEastAsia" w:cstheme="minorHAnsi"/>
          <w:sz w:val="24"/>
          <w:szCs w:val="24"/>
          <w:lang w:eastAsia="de-DE"/>
        </w:rPr>
        <w:t xml:space="preserve">gehört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als</w:t>
      </w:r>
      <w:r w:rsidR="0055228E" w:rsidRPr="0089489C">
        <w:rPr>
          <w:rFonts w:eastAsiaTheme="minorEastAsia" w:cstheme="minorHAnsi"/>
          <w:sz w:val="24"/>
          <w:szCs w:val="24"/>
          <w:lang w:eastAsia="de-DE"/>
        </w:rPr>
        <w:t xml:space="preserve"> der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 </w:t>
      </w:r>
      <w:r w:rsidR="0055228E" w:rsidRPr="0089489C">
        <w:rPr>
          <w:rFonts w:eastAsiaTheme="minorEastAsia" w:cstheme="minorHAnsi"/>
          <w:sz w:val="24"/>
          <w:szCs w:val="24"/>
          <w:lang w:eastAsia="de-DE"/>
        </w:rPr>
        <w:t>geäußerten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.</w:t>
      </w:r>
    </w:p>
    <w:p w:rsidR="00747131" w:rsidRPr="0089489C" w:rsidRDefault="00747131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C7378C" w:rsidRPr="0089489C" w:rsidRDefault="00C7378C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3F0BA6" w:rsidP="00747131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lang w:eastAsia="de-DE"/>
        </w:rPr>
      </w:pPr>
      <w:r w:rsidRPr="0089489C">
        <w:rPr>
          <w:rFonts w:eastAsiaTheme="minorEastAsia" w:cstheme="minorHAnsi"/>
          <w:b/>
          <w:sz w:val="24"/>
          <w:szCs w:val="24"/>
          <w:lang w:eastAsia="de-DE"/>
        </w:rPr>
        <w:t>Entscheiden Sie sich für die richtige Aussage.</w:t>
      </w:r>
    </w:p>
    <w:p w:rsidR="00747131" w:rsidRPr="0089489C" w:rsidRDefault="00747131" w:rsidP="00747131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747131" w:rsidP="00747131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>Das Modell zeigt, …</w:t>
      </w:r>
    </w:p>
    <w:p w:rsidR="00747131" w:rsidRPr="0089489C" w:rsidRDefault="00747131" w:rsidP="00747131">
      <w:pPr>
        <w:spacing w:after="0" w:line="240" w:lineRule="auto"/>
        <w:ind w:left="360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C7378C" w:rsidP="001C29D2">
      <w:pPr>
        <w:spacing w:after="0" w:line="240" w:lineRule="auto"/>
        <w:ind w:left="1134" w:hanging="420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…</w:t>
      </w:r>
      <w:r w:rsidRPr="0089489C">
        <w:rPr>
          <w:rFonts w:eastAsiaTheme="minorEastAsia" w:cstheme="minorHAnsi"/>
          <w:sz w:val="24"/>
          <w:szCs w:val="24"/>
          <w:lang w:eastAsia="de-DE"/>
        </w:rPr>
        <w:t xml:space="preserve">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wie kompliziert Kommunikation sein kann und wie komplett anders Botschaften, die man sendet, beim Empfänger ankommen können. </w:t>
      </w:r>
    </w:p>
    <w:p w:rsidR="00747131" w:rsidRPr="0089489C" w:rsidRDefault="00C7378C" w:rsidP="00C7378C">
      <w:pPr>
        <w:spacing w:after="0" w:line="360" w:lineRule="auto"/>
        <w:ind w:left="714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 xml:space="preserve">O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…</w:t>
      </w:r>
      <w:r w:rsidRPr="0089489C">
        <w:rPr>
          <w:rFonts w:eastAsiaTheme="minorEastAsia" w:cstheme="minorHAnsi"/>
          <w:sz w:val="24"/>
          <w:szCs w:val="24"/>
          <w:lang w:eastAsia="de-DE"/>
        </w:rPr>
        <w:t xml:space="preserve">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>dass Kommunikation nicht gelingen kann.</w:t>
      </w:r>
    </w:p>
    <w:p w:rsidR="00747131" w:rsidRPr="0089489C" w:rsidRDefault="00C7378C" w:rsidP="00C7378C">
      <w:pPr>
        <w:spacing w:after="0" w:line="360" w:lineRule="auto"/>
        <w:ind w:left="714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>O</w:t>
      </w:r>
      <w:r w:rsidRPr="00747131">
        <w:rPr>
          <w:rFonts w:eastAsiaTheme="minorEastAsia" w:cstheme="minorHAnsi"/>
          <w:noProof/>
          <w:sz w:val="24"/>
          <w:szCs w:val="24"/>
          <w:lang w:eastAsia="de-DE"/>
        </w:rPr>
        <w:t xml:space="preserve"> </w:t>
      </w:r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… dass man nicht </w:t>
      </w:r>
      <w:proofErr w:type="spellStart"/>
      <w:r w:rsidR="00747131" w:rsidRPr="0089489C">
        <w:rPr>
          <w:rFonts w:eastAsiaTheme="minorEastAsia" w:cstheme="minorHAnsi"/>
          <w:sz w:val="24"/>
          <w:szCs w:val="24"/>
          <w:lang w:eastAsia="de-DE"/>
        </w:rPr>
        <w:t>nicht</w:t>
      </w:r>
      <w:proofErr w:type="spellEnd"/>
      <w:r w:rsidR="00747131" w:rsidRPr="0089489C">
        <w:rPr>
          <w:rFonts w:eastAsiaTheme="minorEastAsia" w:cstheme="minorHAnsi"/>
          <w:sz w:val="24"/>
          <w:szCs w:val="24"/>
          <w:lang w:eastAsia="de-DE"/>
        </w:rPr>
        <w:t xml:space="preserve"> kommunizieren kann.</w:t>
      </w:r>
    </w:p>
    <w:p w:rsidR="00747131" w:rsidRPr="0089489C" w:rsidRDefault="00747131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747131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89489C" w:rsidRDefault="00747131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3B5881" w:rsidRDefault="008D4036" w:rsidP="00860608">
      <w:pPr>
        <w:pStyle w:val="Listenabsatz"/>
        <w:numPr>
          <w:ilvl w:val="0"/>
          <w:numId w:val="3"/>
        </w:numPr>
        <w:spacing w:after="0" w:line="240" w:lineRule="auto"/>
        <w:rPr>
          <w:rFonts w:eastAsiaTheme="minorEastAsia" w:cstheme="minorHAnsi"/>
          <w:b/>
          <w:sz w:val="24"/>
          <w:szCs w:val="24"/>
          <w:lang w:val="en-GB" w:eastAsia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1.3pt;margin-top:499.9pt;width:60.05pt;height:60.05pt;z-index:251661312;mso-position-horizontal-relative:margin;mso-position-vertical-relative:margin">
            <v:imagedata r:id="rId10" o:title="frame(4)"/>
            <w10:wrap type="square" anchorx="margin" anchory="margin"/>
          </v:shape>
        </w:pict>
      </w:r>
      <w:r w:rsidR="003B5881" w:rsidRPr="0089489C">
        <w:rPr>
          <w:rFonts w:eastAsiaTheme="minorEastAsia" w:cstheme="minorHAnsi"/>
          <w:b/>
          <w:sz w:val="24"/>
          <w:szCs w:val="24"/>
          <w:lang w:eastAsia="de-DE"/>
        </w:rPr>
        <w:t>Unter folgendem QR-Code finde</w:t>
      </w:r>
      <w:r w:rsidR="00E24D9C" w:rsidRPr="0089489C">
        <w:rPr>
          <w:rFonts w:eastAsiaTheme="minorEastAsia" w:cstheme="minorHAnsi"/>
          <w:b/>
          <w:sz w:val="24"/>
          <w:szCs w:val="24"/>
          <w:lang w:eastAsia="de-DE"/>
        </w:rPr>
        <w:t>n Sie</w:t>
      </w:r>
      <w:r w:rsidR="003B5881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eine weitere Übung zum Kommunikationsmodell von Schulz von Thun.</w:t>
      </w:r>
      <w:r w:rsidR="004F4B02" w:rsidRPr="0089489C">
        <w:rPr>
          <w:rFonts w:eastAsiaTheme="minorEastAsia" w:cstheme="minorHAnsi"/>
          <w:b/>
          <w:sz w:val="24"/>
          <w:szCs w:val="24"/>
          <w:lang w:eastAsia="de-DE"/>
        </w:rPr>
        <w:t xml:space="preserve"> </w:t>
      </w:r>
      <w:hyperlink r:id="rId11" w:history="1">
        <w:r w:rsidR="00860608" w:rsidRPr="00267291">
          <w:rPr>
            <w:rStyle w:val="Hyperlink"/>
          </w:rPr>
          <w:t>https://h5p.org/node/554922</w:t>
        </w:r>
      </w:hyperlink>
      <w:r w:rsidR="00860608">
        <w:t xml:space="preserve"> </w:t>
      </w:r>
    </w:p>
    <w:p w:rsidR="004F4B02" w:rsidRPr="004F4B02" w:rsidRDefault="004F4B02" w:rsidP="004F4B02">
      <w:pPr>
        <w:spacing w:after="0" w:line="240" w:lineRule="auto"/>
        <w:ind w:left="360"/>
        <w:rPr>
          <w:rFonts w:eastAsiaTheme="minorEastAsia" w:cstheme="minorHAnsi"/>
          <w:b/>
          <w:sz w:val="24"/>
          <w:szCs w:val="24"/>
          <w:lang w:val="en-GB" w:eastAsia="de-DE"/>
        </w:rPr>
      </w:pPr>
    </w:p>
    <w:p w:rsidR="001C29D2" w:rsidRPr="001C29D2" w:rsidRDefault="001C29D2" w:rsidP="001C29D2">
      <w:pPr>
        <w:pStyle w:val="Listenabsatz"/>
        <w:spacing w:after="0" w:line="240" w:lineRule="auto"/>
        <w:rPr>
          <w:rFonts w:eastAsiaTheme="minorEastAsia" w:cstheme="minorHAnsi"/>
          <w:b/>
          <w:sz w:val="24"/>
          <w:szCs w:val="24"/>
          <w:lang w:val="en-GB" w:eastAsia="de-DE"/>
        </w:rPr>
      </w:pPr>
    </w:p>
    <w:p w:rsidR="003B5881" w:rsidRPr="0089489C" w:rsidRDefault="003B5881" w:rsidP="001C29D2">
      <w:pPr>
        <w:spacing w:after="0" w:line="240" w:lineRule="auto"/>
        <w:ind w:left="708"/>
        <w:rPr>
          <w:rFonts w:eastAsiaTheme="minorEastAsia" w:cstheme="minorHAnsi"/>
          <w:sz w:val="24"/>
          <w:szCs w:val="24"/>
          <w:lang w:eastAsia="de-DE"/>
        </w:rPr>
      </w:pPr>
      <w:r w:rsidRPr="0089489C">
        <w:rPr>
          <w:rFonts w:eastAsiaTheme="minorEastAsia" w:cstheme="minorHAnsi"/>
          <w:sz w:val="24"/>
          <w:szCs w:val="24"/>
          <w:lang w:eastAsia="de-DE"/>
        </w:rPr>
        <w:t>Schau</w:t>
      </w:r>
      <w:r w:rsidR="00E24D9C" w:rsidRPr="0089489C">
        <w:rPr>
          <w:rFonts w:eastAsiaTheme="minorEastAsia" w:cstheme="minorHAnsi"/>
          <w:sz w:val="24"/>
          <w:szCs w:val="24"/>
          <w:lang w:eastAsia="de-DE"/>
        </w:rPr>
        <w:t>en Sie sich</w:t>
      </w:r>
      <w:r w:rsidRPr="0089489C">
        <w:rPr>
          <w:rFonts w:eastAsiaTheme="minorEastAsia" w:cstheme="minorHAnsi"/>
          <w:sz w:val="24"/>
          <w:szCs w:val="24"/>
          <w:lang w:eastAsia="de-DE"/>
        </w:rPr>
        <w:t xml:space="preserve"> die Antwort des Empfängers an und entscheide</w:t>
      </w:r>
      <w:r w:rsidR="00E24D9C" w:rsidRPr="0089489C">
        <w:rPr>
          <w:rFonts w:eastAsiaTheme="minorEastAsia" w:cstheme="minorHAnsi"/>
          <w:sz w:val="24"/>
          <w:szCs w:val="24"/>
          <w:lang w:eastAsia="de-DE"/>
        </w:rPr>
        <w:t>n Sie</w:t>
      </w:r>
      <w:r w:rsidR="004F4B02" w:rsidRPr="0089489C">
        <w:rPr>
          <w:rFonts w:eastAsiaTheme="minorEastAsia" w:cstheme="minorHAnsi"/>
          <w:sz w:val="24"/>
          <w:szCs w:val="24"/>
          <w:lang w:eastAsia="de-DE"/>
        </w:rPr>
        <w:t xml:space="preserve"> jeweils</w:t>
      </w:r>
      <w:r w:rsidRPr="0089489C">
        <w:rPr>
          <w:rFonts w:eastAsiaTheme="minorEastAsia" w:cstheme="minorHAnsi"/>
          <w:sz w:val="24"/>
          <w:szCs w:val="24"/>
          <w:lang w:eastAsia="de-DE"/>
        </w:rPr>
        <w:t xml:space="preserve">, mit welchem Ohr die </w:t>
      </w:r>
      <w:r w:rsidR="001C29D2" w:rsidRPr="0089489C">
        <w:rPr>
          <w:rFonts w:eastAsiaTheme="minorEastAsia" w:cstheme="minorHAnsi"/>
          <w:sz w:val="24"/>
          <w:szCs w:val="24"/>
          <w:lang w:eastAsia="de-DE"/>
        </w:rPr>
        <w:t>Botschaft gehört wurde</w:t>
      </w:r>
      <w:r w:rsidRPr="0089489C">
        <w:rPr>
          <w:rFonts w:eastAsiaTheme="minorEastAsia" w:cstheme="minorHAnsi"/>
          <w:sz w:val="24"/>
          <w:szCs w:val="24"/>
          <w:lang w:eastAsia="de-DE"/>
        </w:rPr>
        <w:t>.</w:t>
      </w:r>
    </w:p>
    <w:p w:rsidR="00C7378C" w:rsidRPr="0089489C" w:rsidRDefault="00C7378C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C7378C" w:rsidRPr="0089489C" w:rsidRDefault="00C7378C" w:rsidP="00747131">
      <w:pPr>
        <w:spacing w:after="0" w:line="240" w:lineRule="auto"/>
        <w:rPr>
          <w:rFonts w:eastAsiaTheme="minorEastAsia" w:cstheme="minorHAnsi"/>
          <w:sz w:val="24"/>
          <w:szCs w:val="24"/>
          <w:lang w:eastAsia="de-DE"/>
        </w:rPr>
      </w:pPr>
    </w:p>
    <w:p w:rsidR="00747131" w:rsidRPr="00747131" w:rsidRDefault="00747131">
      <w:pPr>
        <w:rPr>
          <w:rFonts w:cstheme="minorHAnsi"/>
          <w:sz w:val="24"/>
          <w:szCs w:val="24"/>
        </w:rPr>
      </w:pPr>
    </w:p>
    <w:p w:rsidR="00747131" w:rsidRPr="00747131" w:rsidRDefault="00747131">
      <w:pPr>
        <w:rPr>
          <w:rFonts w:cstheme="minorHAnsi"/>
          <w:sz w:val="24"/>
          <w:szCs w:val="24"/>
        </w:rPr>
      </w:pPr>
    </w:p>
    <w:p w:rsidR="00D80CF5" w:rsidRPr="00747131" w:rsidRDefault="00D80CF5" w:rsidP="00D80CF5">
      <w:pPr>
        <w:rPr>
          <w:rFonts w:cstheme="minorHAnsi"/>
          <w:color w:val="FF0000"/>
          <w:sz w:val="24"/>
          <w:szCs w:val="24"/>
        </w:rPr>
      </w:pPr>
    </w:p>
    <w:sectPr w:rsidR="00D80CF5" w:rsidRPr="0074713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EF" w:rsidRDefault="00D94BEF" w:rsidP="00466533">
      <w:pPr>
        <w:spacing w:after="0" w:line="240" w:lineRule="auto"/>
      </w:pPr>
      <w:r>
        <w:separator/>
      </w:r>
    </w:p>
  </w:endnote>
  <w:endnote w:type="continuationSeparator" w:id="0">
    <w:p w:rsidR="00D94BEF" w:rsidRDefault="00D94BEF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603018"/>
      <w:docPartObj>
        <w:docPartGallery w:val="Page Numbers (Bottom of Page)"/>
        <w:docPartUnique/>
      </w:docPartObj>
    </w:sdtPr>
    <w:sdtEndPr/>
    <w:sdtContent>
      <w:p w:rsidR="00C7378C" w:rsidRDefault="00C7378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36">
          <w:rPr>
            <w:noProof/>
          </w:rPr>
          <w:t>2</w:t>
        </w:r>
        <w:r>
          <w:fldChar w:fldCharType="end"/>
        </w:r>
      </w:p>
    </w:sdtContent>
  </w:sdt>
  <w:p w:rsidR="00C7378C" w:rsidRDefault="00C737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EF" w:rsidRDefault="00D94BEF" w:rsidP="00466533">
      <w:pPr>
        <w:spacing w:after="0" w:line="240" w:lineRule="auto"/>
      </w:pPr>
      <w:r>
        <w:separator/>
      </w:r>
    </w:p>
  </w:footnote>
  <w:footnote w:type="continuationSeparator" w:id="0">
    <w:p w:rsidR="00D94BEF" w:rsidRDefault="00D94BEF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3204"/>
      <w:gridCol w:w="574"/>
      <w:gridCol w:w="1093"/>
      <w:gridCol w:w="4268"/>
    </w:tblGrid>
    <w:tr w:rsidR="00466533" w:rsidTr="00747131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7679D287" wp14:editId="3A8E6DA5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871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8" w:type="dxa"/>
              <w:shd w:val="clear" w:color="auto" w:fill="808080" w:themeFill="background1" w:themeFillShade="80"/>
              <w:vAlign w:val="center"/>
            </w:tcPr>
            <w:p w:rsidR="00466533" w:rsidRDefault="0055228E" w:rsidP="0055228E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>Chancen und Grenzen digitaler Medien</w:t>
              </w:r>
            </w:p>
          </w:tc>
        </w:sdtContent>
      </w:sdt>
    </w:tr>
    <w:tr w:rsidR="00466533" w:rsidTr="0055228E">
      <w:trPr>
        <w:cantSplit/>
        <w:trHeight w:val="367"/>
        <w:tblHeader/>
      </w:trPr>
      <w:tc>
        <w:tcPr>
          <w:tcW w:w="3969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55228E" w:rsidP="0055228E">
              <w:pPr>
                <w:ind w:right="-725"/>
              </w:pPr>
              <w:r>
                <w:t>Sprechen und zuhören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55228E" w:rsidP="0055228E">
          <w:pPr>
            <w:pStyle w:val="Kopfzeile"/>
            <w:jc w:val="right"/>
          </w:pPr>
          <w:r>
            <w:t>Schulz von Thun</w:t>
          </w:r>
        </w:p>
      </w:tc>
    </w:tr>
  </w:tbl>
  <w:p w:rsidR="00466533" w:rsidRDefault="004665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35"/>
    <w:multiLevelType w:val="hybridMultilevel"/>
    <w:tmpl w:val="2C726988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86E5C"/>
    <w:multiLevelType w:val="hybridMultilevel"/>
    <w:tmpl w:val="38568C9A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76F7"/>
    <w:multiLevelType w:val="hybridMultilevel"/>
    <w:tmpl w:val="A4D4E052"/>
    <w:lvl w:ilvl="0" w:tplc="477E2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1A46"/>
    <w:multiLevelType w:val="hybridMultilevel"/>
    <w:tmpl w:val="6AA6FD0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07B84"/>
    <w:multiLevelType w:val="hybridMultilevel"/>
    <w:tmpl w:val="AB9044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569DF"/>
    <w:multiLevelType w:val="hybridMultilevel"/>
    <w:tmpl w:val="A07C34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4626F"/>
    <w:rsid w:val="00135097"/>
    <w:rsid w:val="00141723"/>
    <w:rsid w:val="001C22D1"/>
    <w:rsid w:val="001C29D2"/>
    <w:rsid w:val="002021E8"/>
    <w:rsid w:val="00227C15"/>
    <w:rsid w:val="002E7ADE"/>
    <w:rsid w:val="0030469F"/>
    <w:rsid w:val="003365EC"/>
    <w:rsid w:val="003372CA"/>
    <w:rsid w:val="0034207C"/>
    <w:rsid w:val="00351049"/>
    <w:rsid w:val="003A5C46"/>
    <w:rsid w:val="003B5881"/>
    <w:rsid w:val="003E4700"/>
    <w:rsid w:val="003F0BA6"/>
    <w:rsid w:val="00437ADF"/>
    <w:rsid w:val="004542A5"/>
    <w:rsid w:val="00466533"/>
    <w:rsid w:val="00470706"/>
    <w:rsid w:val="00473D54"/>
    <w:rsid w:val="004B2C13"/>
    <w:rsid w:val="004B7E53"/>
    <w:rsid w:val="004C4FB9"/>
    <w:rsid w:val="004D6706"/>
    <w:rsid w:val="004F4B02"/>
    <w:rsid w:val="0054764B"/>
    <w:rsid w:val="0055228E"/>
    <w:rsid w:val="005873AE"/>
    <w:rsid w:val="00596248"/>
    <w:rsid w:val="00634D2A"/>
    <w:rsid w:val="00740FC6"/>
    <w:rsid w:val="00747131"/>
    <w:rsid w:val="00792E83"/>
    <w:rsid w:val="007C7536"/>
    <w:rsid w:val="00804260"/>
    <w:rsid w:val="00860608"/>
    <w:rsid w:val="0089489C"/>
    <w:rsid w:val="008A2C9F"/>
    <w:rsid w:val="008D4036"/>
    <w:rsid w:val="0096426A"/>
    <w:rsid w:val="00A031AC"/>
    <w:rsid w:val="00A459D4"/>
    <w:rsid w:val="00A52580"/>
    <w:rsid w:val="00A84012"/>
    <w:rsid w:val="00B906F3"/>
    <w:rsid w:val="00BB223D"/>
    <w:rsid w:val="00BB436E"/>
    <w:rsid w:val="00BE51DD"/>
    <w:rsid w:val="00BF5E03"/>
    <w:rsid w:val="00C156C6"/>
    <w:rsid w:val="00C22170"/>
    <w:rsid w:val="00C66448"/>
    <w:rsid w:val="00C7378C"/>
    <w:rsid w:val="00CB42B0"/>
    <w:rsid w:val="00CE0897"/>
    <w:rsid w:val="00D146DD"/>
    <w:rsid w:val="00D629E5"/>
    <w:rsid w:val="00D80CF5"/>
    <w:rsid w:val="00D94BEF"/>
    <w:rsid w:val="00DC6835"/>
    <w:rsid w:val="00DD24F5"/>
    <w:rsid w:val="00E16DED"/>
    <w:rsid w:val="00E24D9C"/>
    <w:rsid w:val="00EB4118"/>
    <w:rsid w:val="00EB69C5"/>
    <w:rsid w:val="00EB7479"/>
    <w:rsid w:val="00F664F4"/>
    <w:rsid w:val="00F90C36"/>
    <w:rsid w:val="00FC0719"/>
    <w:rsid w:val="00FC5139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B22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B2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5p.org/node/554922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034D4C"/>
    <w:rsid w:val="0014359B"/>
    <w:rsid w:val="005A4FC3"/>
    <w:rsid w:val="0060304E"/>
    <w:rsid w:val="00651A30"/>
    <w:rsid w:val="008F2A58"/>
    <w:rsid w:val="009A757E"/>
    <w:rsid w:val="00A102D9"/>
    <w:rsid w:val="00A945B9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CEF0-017F-4463-B5AB-EC91D697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E9F4A9BE.dotm</Template>
  <TotalTime>0</TotalTime>
  <Pages>2</Pages>
  <Words>313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sarah.bauder@gmx.de</dc:creator>
  <cp:lastModifiedBy>René Gyurcsik</cp:lastModifiedBy>
  <cp:revision>2</cp:revision>
  <cp:lastPrinted>2018-06-12T11:55:00Z</cp:lastPrinted>
  <dcterms:created xsi:type="dcterms:W3CDTF">2019-07-22T13:22:00Z</dcterms:created>
  <dcterms:modified xsi:type="dcterms:W3CDTF">2019-07-22T13:22:00Z</dcterms:modified>
</cp:coreProperties>
</file>